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08" w:rsidRDefault="00B82F08" w:rsidP="00B82F08">
      <w:pPr>
        <w:shd w:val="clear" w:color="auto" w:fill="FFFFFF"/>
        <w:spacing w:before="100" w:beforeAutospacing="1" w:line="360" w:lineRule="atLeast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Bolham Community Primary School 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Results 2015 </w:t>
      </w:r>
      <w:r w:rsidRPr="000B1719">
        <w:rPr>
          <w:rFonts w:ascii="Helvetica" w:eastAsia="Times New Roman" w:hAnsi="Helvetica" w:cs="Helvetica"/>
          <w:b/>
          <w:bCs/>
          <w:sz w:val="20"/>
          <w:szCs w:val="20"/>
          <w:lang w:eastAsia="en-GB"/>
        </w:rPr>
        <w:br/>
      </w:r>
      <w:r w:rsidRPr="000B1719">
        <w:rPr>
          <w:rFonts w:ascii="Helvetica" w:eastAsia="Times New Roman" w:hAnsi="Helvetica" w:cs="Helvetica"/>
          <w:b/>
          <w:bCs/>
          <w:sz w:val="20"/>
          <w:szCs w:val="20"/>
          <w:lang w:eastAsia="en-GB"/>
        </w:rPr>
        <w:br/>
      </w:r>
      <w:r w:rsidRPr="000B1719">
        <w:rPr>
          <w:rFonts w:ascii="Helvetica" w:eastAsia="Times New Roman" w:hAnsi="Helvetica" w:cs="Helvetica"/>
          <w:sz w:val="20"/>
          <w:szCs w:val="20"/>
          <w:lang w:eastAsia="en-GB"/>
        </w:rPr>
        <w:t xml:space="preserve">The following table shows the percentage of children who achieved </w:t>
      </w:r>
      <w:r>
        <w:rPr>
          <w:rFonts w:ascii="Helvetica" w:eastAsia="Times New Roman" w:hAnsi="Helvetica" w:cs="Helvetica"/>
          <w:sz w:val="20"/>
          <w:szCs w:val="20"/>
          <w:lang w:eastAsia="en-GB"/>
        </w:rPr>
        <w:t xml:space="preserve">  a good level of development at the end of the Foundation Stage 2015,</w:t>
      </w:r>
      <w:r w:rsidRPr="000B1719">
        <w:rPr>
          <w:rFonts w:ascii="Helvetica" w:eastAsia="Times New Roman" w:hAnsi="Helvetica" w:cs="Helvetica"/>
          <w:sz w:val="20"/>
          <w:szCs w:val="20"/>
          <w:lang w:eastAsia="en-GB"/>
        </w:rPr>
        <w:t xml:space="preserve"> in comparison with the national average.</w:t>
      </w:r>
    </w:p>
    <w:p w:rsidR="00B82F08" w:rsidRPr="00B82F08" w:rsidRDefault="00B82F08" w:rsidP="00B82F08">
      <w:pPr>
        <w:shd w:val="clear" w:color="auto" w:fill="FFFFFF"/>
        <w:spacing w:before="100" w:beforeAutospacing="1" w:line="360" w:lineRule="atLeast"/>
        <w:rPr>
          <w:rFonts w:ascii="Helvetica" w:eastAsia="Times New Roman" w:hAnsi="Helvetica" w:cs="Helvetica"/>
          <w:b/>
          <w:sz w:val="20"/>
          <w:szCs w:val="20"/>
          <w:lang w:eastAsia="en-GB"/>
        </w:rPr>
      </w:pPr>
      <w:r w:rsidRPr="00B82F08">
        <w:rPr>
          <w:rFonts w:ascii="Helvetica" w:eastAsia="Times New Roman" w:hAnsi="Helvetica" w:cs="Helvetica"/>
          <w:b/>
          <w:sz w:val="20"/>
          <w:szCs w:val="20"/>
          <w:lang w:eastAsia="en-GB"/>
        </w:rPr>
        <w:t>Early Year’s Foundation Stage 2015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701"/>
        <w:gridCol w:w="1701"/>
      </w:tblGrid>
      <w:tr w:rsidR="00B82F08" w:rsidRPr="000B1719" w:rsidTr="00DB471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F08" w:rsidRPr="000B1719" w:rsidRDefault="00B82F08" w:rsidP="00B82F08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0B171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719" w:rsidRPr="000B1719" w:rsidRDefault="00B82F08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0B171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719" w:rsidRPr="000B1719" w:rsidRDefault="00B82F08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0B171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National</w:t>
            </w:r>
          </w:p>
        </w:tc>
      </w:tr>
      <w:tr w:rsidR="00B82F08" w:rsidRPr="000B1719" w:rsidTr="00DB471E">
        <w:trPr>
          <w:trHeight w:val="589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719" w:rsidRPr="000B1719" w:rsidRDefault="00B82F08" w:rsidP="00DB471E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Percentage of children achieving a Good Level of Development </w:t>
            </w:r>
            <w:r w:rsidRPr="000B171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Level 4 or above in reading, writing and maths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719" w:rsidRPr="000B1719" w:rsidRDefault="00B82F08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71%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719" w:rsidRPr="000B1719" w:rsidRDefault="00B82F08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61% </w:t>
            </w:r>
          </w:p>
        </w:tc>
      </w:tr>
    </w:tbl>
    <w:p w:rsidR="00EC75BA" w:rsidRDefault="00E524A5"/>
    <w:p w:rsidR="00B82F08" w:rsidRDefault="00B82F08" w:rsidP="00B82F08">
      <w:pPr>
        <w:shd w:val="clear" w:color="auto" w:fill="FFFFFF"/>
        <w:spacing w:before="100" w:beforeAutospacing="1" w:line="360" w:lineRule="atLeast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0B1719">
        <w:rPr>
          <w:rFonts w:ascii="Helvetica" w:eastAsia="Times New Roman" w:hAnsi="Helvetica" w:cs="Helvetica"/>
          <w:sz w:val="20"/>
          <w:szCs w:val="20"/>
          <w:lang w:eastAsia="en-GB"/>
        </w:rPr>
        <w:t xml:space="preserve">The following table shows the percentage of children who achieved </w:t>
      </w:r>
      <w:r>
        <w:rPr>
          <w:rFonts w:ascii="Helvetica" w:eastAsia="Times New Roman" w:hAnsi="Helvetica" w:cs="Helvetica"/>
          <w:sz w:val="20"/>
          <w:szCs w:val="20"/>
          <w:lang w:eastAsia="en-GB"/>
        </w:rPr>
        <w:t xml:space="preserve">  </w:t>
      </w:r>
      <w:r>
        <w:rPr>
          <w:rFonts w:ascii="Helvetica" w:eastAsia="Times New Roman" w:hAnsi="Helvetica" w:cs="Helvetica"/>
          <w:sz w:val="20"/>
          <w:szCs w:val="20"/>
          <w:lang w:eastAsia="en-GB"/>
        </w:rPr>
        <w:t xml:space="preserve"> the expected standard of attainment in Phonics at the </w:t>
      </w:r>
      <w:r>
        <w:rPr>
          <w:rFonts w:ascii="Helvetica" w:eastAsia="Times New Roman" w:hAnsi="Helvetica" w:cs="Helvetica"/>
          <w:sz w:val="20"/>
          <w:szCs w:val="20"/>
          <w:lang w:eastAsia="en-GB"/>
        </w:rPr>
        <w:t xml:space="preserve">end of </w:t>
      </w:r>
      <w:r>
        <w:rPr>
          <w:rFonts w:ascii="Helvetica" w:eastAsia="Times New Roman" w:hAnsi="Helvetica" w:cs="Helvetica"/>
          <w:sz w:val="20"/>
          <w:szCs w:val="20"/>
          <w:lang w:eastAsia="en-GB"/>
        </w:rPr>
        <w:t xml:space="preserve">year one and by the end of year two </w:t>
      </w:r>
      <w:r>
        <w:rPr>
          <w:rFonts w:ascii="Helvetica" w:eastAsia="Times New Roman" w:hAnsi="Helvetica" w:cs="Helvetica"/>
          <w:sz w:val="20"/>
          <w:szCs w:val="20"/>
          <w:lang w:eastAsia="en-GB"/>
        </w:rPr>
        <w:t xml:space="preserve">2015, </w:t>
      </w:r>
      <w:r w:rsidRPr="000B1719">
        <w:rPr>
          <w:rFonts w:ascii="Helvetica" w:eastAsia="Times New Roman" w:hAnsi="Helvetica" w:cs="Helvetica"/>
          <w:sz w:val="20"/>
          <w:szCs w:val="20"/>
          <w:lang w:eastAsia="en-GB"/>
        </w:rPr>
        <w:t>in comparison with the national average.</w:t>
      </w:r>
    </w:p>
    <w:p w:rsidR="00B82F08" w:rsidRDefault="00B82F08" w:rsidP="00B82F08">
      <w:pPr>
        <w:shd w:val="clear" w:color="auto" w:fill="FFFFFF"/>
        <w:spacing w:before="100" w:beforeAutospacing="1" w:line="360" w:lineRule="atLeast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B82F08">
        <w:rPr>
          <w:rFonts w:ascii="Helvetica" w:eastAsia="Times New Roman" w:hAnsi="Helvetica" w:cs="Helvetica"/>
          <w:b/>
          <w:sz w:val="20"/>
          <w:szCs w:val="20"/>
          <w:lang w:eastAsia="en-GB"/>
        </w:rPr>
        <w:t>Phonics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701"/>
      </w:tblGrid>
      <w:tr w:rsidR="00B82F08" w:rsidRPr="000B1719" w:rsidTr="00B82F08">
        <w:tc>
          <w:tcPr>
            <w:tcW w:w="3652" w:type="dxa"/>
            <w:hideMark/>
          </w:tcPr>
          <w:p w:rsidR="00B82F08" w:rsidRPr="000B1719" w:rsidRDefault="00B82F08" w:rsidP="00B82F08">
            <w:pPr>
              <w:spacing w:line="360" w:lineRule="atLeast"/>
              <w:rPr>
                <w:rFonts w:ascii="Helvetica" w:eastAsia="Times New Roman" w:hAnsi="Helvetica" w:cs="Helvetica"/>
                <w:b/>
                <w:sz w:val="20"/>
                <w:szCs w:val="20"/>
                <w:lang w:eastAsia="en-GB"/>
              </w:rPr>
            </w:pPr>
            <w:r w:rsidRPr="000B171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hideMark/>
          </w:tcPr>
          <w:p w:rsidR="000B1719" w:rsidRPr="000B1719" w:rsidRDefault="00B82F08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0B171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1701" w:type="dxa"/>
            <w:hideMark/>
          </w:tcPr>
          <w:p w:rsidR="000B1719" w:rsidRPr="000B1719" w:rsidRDefault="00B82F08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0B1719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National</w:t>
            </w:r>
          </w:p>
        </w:tc>
      </w:tr>
      <w:tr w:rsidR="00B82F08" w:rsidRPr="000B1719" w:rsidTr="00B82F08">
        <w:trPr>
          <w:trHeight w:val="589"/>
        </w:trPr>
        <w:tc>
          <w:tcPr>
            <w:tcW w:w="3652" w:type="dxa"/>
            <w:hideMark/>
          </w:tcPr>
          <w:p w:rsidR="000B1719" w:rsidRPr="000B1719" w:rsidRDefault="00B82F08" w:rsidP="00DB471E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Year One </w:t>
            </w:r>
          </w:p>
        </w:tc>
        <w:tc>
          <w:tcPr>
            <w:tcW w:w="1701" w:type="dxa"/>
          </w:tcPr>
          <w:p w:rsidR="000B1719" w:rsidRPr="000B1719" w:rsidRDefault="00B82F08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71% </w:t>
            </w:r>
          </w:p>
        </w:tc>
        <w:tc>
          <w:tcPr>
            <w:tcW w:w="1701" w:type="dxa"/>
          </w:tcPr>
          <w:p w:rsidR="000B1719" w:rsidRPr="000B1719" w:rsidRDefault="00B82F08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61% </w:t>
            </w:r>
          </w:p>
        </w:tc>
      </w:tr>
      <w:tr w:rsidR="00B82F08" w:rsidTr="00B82F08">
        <w:tc>
          <w:tcPr>
            <w:tcW w:w="3652" w:type="dxa"/>
          </w:tcPr>
          <w:p w:rsidR="00B82F08" w:rsidRDefault="00B82F08" w:rsidP="00B82F08">
            <w:pPr>
              <w:spacing w:before="100" w:before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Year Two </w:t>
            </w:r>
          </w:p>
        </w:tc>
        <w:tc>
          <w:tcPr>
            <w:tcW w:w="1701" w:type="dxa"/>
          </w:tcPr>
          <w:p w:rsidR="00B82F08" w:rsidRDefault="00B82F08" w:rsidP="00B82F08">
            <w:pPr>
              <w:spacing w:before="100" w:before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81%</w:t>
            </w:r>
          </w:p>
        </w:tc>
        <w:tc>
          <w:tcPr>
            <w:tcW w:w="1701" w:type="dxa"/>
          </w:tcPr>
          <w:p w:rsidR="00B82F08" w:rsidRDefault="00B82F08" w:rsidP="00B82F08">
            <w:pPr>
              <w:spacing w:before="100" w:before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77%</w:t>
            </w:r>
          </w:p>
        </w:tc>
      </w:tr>
    </w:tbl>
    <w:p w:rsidR="001D6675" w:rsidRDefault="001D6675" w:rsidP="00B82F08">
      <w:pPr>
        <w:shd w:val="clear" w:color="auto" w:fill="FFFFFF"/>
        <w:spacing w:before="100" w:beforeAutospacing="1" w:line="360" w:lineRule="atLeast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</w:p>
    <w:p w:rsidR="00B82F08" w:rsidRPr="00B82F08" w:rsidRDefault="00B82F08" w:rsidP="00B82F08">
      <w:pPr>
        <w:shd w:val="clear" w:color="auto" w:fill="FFFFFF"/>
        <w:spacing w:before="100" w:beforeAutospacing="1" w:line="360" w:lineRule="atLeast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Key Stage 1</w:t>
      </w:r>
      <w:r w:rsidRPr="00B82F08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SATs Results 2015</w:t>
      </w:r>
      <w:r w:rsidRPr="00B82F08">
        <w:rPr>
          <w:rFonts w:ascii="Helvetica" w:eastAsia="Times New Roman" w:hAnsi="Helvetica" w:cs="Helvetica"/>
          <w:b/>
          <w:bCs/>
          <w:sz w:val="20"/>
          <w:szCs w:val="20"/>
          <w:lang w:eastAsia="en-GB"/>
        </w:rPr>
        <w:br/>
      </w:r>
      <w:r w:rsidRPr="00B82F08">
        <w:rPr>
          <w:rFonts w:ascii="Helvetica" w:eastAsia="Times New Roman" w:hAnsi="Helvetica" w:cs="Helvetica"/>
          <w:b/>
          <w:bCs/>
          <w:sz w:val="20"/>
          <w:szCs w:val="20"/>
          <w:lang w:eastAsia="en-GB"/>
        </w:rPr>
        <w:br/>
      </w:r>
      <w:r w:rsidRPr="00B82F08">
        <w:rPr>
          <w:rFonts w:ascii="Helvetica" w:eastAsia="Times New Roman" w:hAnsi="Helvetica" w:cs="Helvetica"/>
          <w:sz w:val="20"/>
          <w:szCs w:val="20"/>
          <w:lang w:eastAsia="en-GB"/>
        </w:rPr>
        <w:t xml:space="preserve">The following table shows the percentage of children who </w:t>
      </w:r>
      <w:r>
        <w:rPr>
          <w:rFonts w:ascii="Helvetica" w:eastAsia="Times New Roman" w:hAnsi="Helvetica" w:cs="Helvetica"/>
          <w:sz w:val="20"/>
          <w:szCs w:val="20"/>
          <w:lang w:eastAsia="en-GB"/>
        </w:rPr>
        <w:t>achieved different levels in KS1</w:t>
      </w:r>
      <w:r w:rsidRPr="00B82F08">
        <w:rPr>
          <w:rFonts w:ascii="Helvetica" w:eastAsia="Times New Roman" w:hAnsi="Helvetica" w:cs="Helvetica"/>
          <w:sz w:val="20"/>
          <w:szCs w:val="20"/>
          <w:lang w:eastAsia="en-GB"/>
        </w:rPr>
        <w:t xml:space="preserve"> SATs 2015, in comparison with the national average.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701"/>
      </w:tblGrid>
      <w:tr w:rsidR="00B82F08" w:rsidRPr="00B82F08" w:rsidTr="00B82F08">
        <w:tc>
          <w:tcPr>
            <w:tcW w:w="3652" w:type="dxa"/>
            <w:hideMark/>
          </w:tcPr>
          <w:p w:rsidR="00B82F08" w:rsidRPr="00B82F08" w:rsidRDefault="00B82F08" w:rsidP="001D6675">
            <w:pPr>
              <w:spacing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hideMark/>
          </w:tcPr>
          <w:p w:rsidR="000B1719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1701" w:type="dxa"/>
            <w:hideMark/>
          </w:tcPr>
          <w:p w:rsidR="000B1719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National</w:t>
            </w:r>
          </w:p>
        </w:tc>
      </w:tr>
      <w:tr w:rsidR="00B82F08" w:rsidRPr="00B82F08" w:rsidTr="00B82F08">
        <w:trPr>
          <w:trHeight w:val="589"/>
        </w:trPr>
        <w:tc>
          <w:tcPr>
            <w:tcW w:w="3652" w:type="dxa"/>
            <w:hideMark/>
          </w:tcPr>
          <w:p w:rsidR="000B1719" w:rsidRPr="00B82F08" w:rsidRDefault="00B82F08" w:rsidP="00B82F08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Level 2</w:t>
            </w:r>
            <w:r w:rsidRP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or above in reading</w:t>
            </w:r>
          </w:p>
        </w:tc>
        <w:tc>
          <w:tcPr>
            <w:tcW w:w="1701" w:type="dxa"/>
          </w:tcPr>
          <w:p w:rsidR="000B1719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701" w:type="dxa"/>
          </w:tcPr>
          <w:p w:rsidR="000B1719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90%</w:t>
            </w:r>
          </w:p>
        </w:tc>
      </w:tr>
      <w:tr w:rsidR="00B82F08" w:rsidRPr="00B82F08" w:rsidTr="00B82F08">
        <w:trPr>
          <w:trHeight w:val="589"/>
        </w:trPr>
        <w:tc>
          <w:tcPr>
            <w:tcW w:w="3652" w:type="dxa"/>
          </w:tcPr>
          <w:p w:rsidR="00B82F08" w:rsidRDefault="00B82F08" w:rsidP="00B82F08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Level 3 or above in reading </w:t>
            </w:r>
          </w:p>
        </w:tc>
        <w:tc>
          <w:tcPr>
            <w:tcW w:w="1701" w:type="dxa"/>
          </w:tcPr>
          <w:p w:rsidR="00B82F08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1701" w:type="dxa"/>
          </w:tcPr>
          <w:p w:rsidR="00B82F08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32%</w:t>
            </w:r>
          </w:p>
        </w:tc>
      </w:tr>
      <w:tr w:rsidR="00B82F08" w:rsidRPr="00B82F08" w:rsidTr="00B82F08">
        <w:trPr>
          <w:trHeight w:val="589"/>
        </w:trPr>
        <w:tc>
          <w:tcPr>
            <w:tcW w:w="3652" w:type="dxa"/>
            <w:hideMark/>
          </w:tcPr>
          <w:p w:rsidR="000B1719" w:rsidRPr="00B82F08" w:rsidRDefault="00B82F08" w:rsidP="00B82F08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Level 2</w:t>
            </w:r>
            <w:r w:rsidRP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or above in writing</w:t>
            </w:r>
          </w:p>
        </w:tc>
        <w:tc>
          <w:tcPr>
            <w:tcW w:w="1701" w:type="dxa"/>
          </w:tcPr>
          <w:p w:rsidR="000B1719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701" w:type="dxa"/>
          </w:tcPr>
          <w:p w:rsidR="000B1719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98%</w:t>
            </w:r>
          </w:p>
        </w:tc>
      </w:tr>
      <w:tr w:rsidR="00B82F08" w:rsidRPr="00B82F08" w:rsidTr="00B82F08">
        <w:trPr>
          <w:trHeight w:val="589"/>
        </w:trPr>
        <w:tc>
          <w:tcPr>
            <w:tcW w:w="3652" w:type="dxa"/>
          </w:tcPr>
          <w:p w:rsidR="00B82F08" w:rsidRDefault="00B82F08" w:rsidP="00B82F08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Level 3 or above in writing </w:t>
            </w:r>
          </w:p>
        </w:tc>
        <w:tc>
          <w:tcPr>
            <w:tcW w:w="1701" w:type="dxa"/>
          </w:tcPr>
          <w:p w:rsidR="00B82F08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701" w:type="dxa"/>
          </w:tcPr>
          <w:p w:rsidR="00B82F08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18%</w:t>
            </w:r>
          </w:p>
        </w:tc>
      </w:tr>
      <w:tr w:rsidR="00B82F08" w:rsidRPr="00B82F08" w:rsidTr="00B82F08">
        <w:trPr>
          <w:trHeight w:val="589"/>
        </w:trPr>
        <w:tc>
          <w:tcPr>
            <w:tcW w:w="3652" w:type="dxa"/>
            <w:hideMark/>
          </w:tcPr>
          <w:p w:rsidR="000B1719" w:rsidRPr="00B82F08" w:rsidRDefault="00B82F08" w:rsidP="00B82F08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Level 2</w:t>
            </w:r>
            <w:r w:rsidRP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or above in maths</w:t>
            </w:r>
          </w:p>
        </w:tc>
        <w:tc>
          <w:tcPr>
            <w:tcW w:w="1701" w:type="dxa"/>
          </w:tcPr>
          <w:p w:rsidR="000B1719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701" w:type="dxa"/>
          </w:tcPr>
          <w:p w:rsidR="000B1719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98%</w:t>
            </w:r>
          </w:p>
        </w:tc>
      </w:tr>
      <w:tr w:rsidR="00B82F08" w:rsidRPr="00B82F08" w:rsidTr="00B82F08">
        <w:trPr>
          <w:trHeight w:val="88"/>
        </w:trPr>
        <w:tc>
          <w:tcPr>
            <w:tcW w:w="3652" w:type="dxa"/>
          </w:tcPr>
          <w:p w:rsidR="00B82F08" w:rsidRDefault="00B82F08" w:rsidP="00B82F08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Level 3 or above in maths </w:t>
            </w:r>
          </w:p>
        </w:tc>
        <w:tc>
          <w:tcPr>
            <w:tcW w:w="1701" w:type="dxa"/>
          </w:tcPr>
          <w:p w:rsidR="00B82F08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27%</w:t>
            </w:r>
          </w:p>
        </w:tc>
        <w:tc>
          <w:tcPr>
            <w:tcW w:w="1701" w:type="dxa"/>
          </w:tcPr>
          <w:p w:rsidR="00B82F08" w:rsidRPr="00B82F08" w:rsidRDefault="00B82F08" w:rsidP="00B82F08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26%</w:t>
            </w:r>
          </w:p>
        </w:tc>
      </w:tr>
    </w:tbl>
    <w:p w:rsidR="00B82F08" w:rsidRPr="00B82F08" w:rsidRDefault="00B82F08" w:rsidP="00B82F08">
      <w:pPr>
        <w:shd w:val="clear" w:color="auto" w:fill="FFFFFF"/>
        <w:spacing w:before="100" w:beforeAutospacing="1" w:line="360" w:lineRule="atLeast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lastRenderedPageBreak/>
        <w:t>Key Stage 2</w:t>
      </w:r>
      <w:r w:rsidRPr="00B82F08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SATs Results 2015</w:t>
      </w:r>
      <w:r w:rsidRPr="00B82F08">
        <w:rPr>
          <w:rFonts w:ascii="Helvetica" w:eastAsia="Times New Roman" w:hAnsi="Helvetica" w:cs="Helvetica"/>
          <w:b/>
          <w:bCs/>
          <w:sz w:val="20"/>
          <w:szCs w:val="20"/>
          <w:lang w:eastAsia="en-GB"/>
        </w:rPr>
        <w:br/>
      </w:r>
      <w:r w:rsidRPr="00B82F08">
        <w:rPr>
          <w:rFonts w:ascii="Helvetica" w:eastAsia="Times New Roman" w:hAnsi="Helvetica" w:cs="Helvetica"/>
          <w:b/>
          <w:bCs/>
          <w:sz w:val="20"/>
          <w:szCs w:val="20"/>
          <w:lang w:eastAsia="en-GB"/>
        </w:rPr>
        <w:br/>
      </w:r>
      <w:r w:rsidRPr="00B82F08">
        <w:rPr>
          <w:rFonts w:ascii="Helvetica" w:eastAsia="Times New Roman" w:hAnsi="Helvetica" w:cs="Helvetica"/>
          <w:sz w:val="20"/>
          <w:szCs w:val="20"/>
          <w:lang w:eastAsia="en-GB"/>
        </w:rPr>
        <w:t xml:space="preserve">The following table shows the percentage of children who </w:t>
      </w:r>
      <w:r>
        <w:rPr>
          <w:rFonts w:ascii="Helvetica" w:eastAsia="Times New Roman" w:hAnsi="Helvetica" w:cs="Helvetica"/>
          <w:sz w:val="20"/>
          <w:szCs w:val="20"/>
          <w:lang w:eastAsia="en-GB"/>
        </w:rPr>
        <w:t>achieved different levels in KS2</w:t>
      </w:r>
      <w:r w:rsidRPr="00B82F08">
        <w:rPr>
          <w:rFonts w:ascii="Helvetica" w:eastAsia="Times New Roman" w:hAnsi="Helvetica" w:cs="Helvetica"/>
          <w:sz w:val="20"/>
          <w:szCs w:val="20"/>
          <w:lang w:eastAsia="en-GB"/>
        </w:rPr>
        <w:t xml:space="preserve"> SATs 2015, in comparison with the national average.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701"/>
      </w:tblGrid>
      <w:tr w:rsidR="00B82F08" w:rsidRPr="00B82F08" w:rsidTr="00DB471E">
        <w:tc>
          <w:tcPr>
            <w:tcW w:w="3652" w:type="dxa"/>
            <w:hideMark/>
          </w:tcPr>
          <w:p w:rsidR="00B82F08" w:rsidRPr="00B82F08" w:rsidRDefault="00B82F08" w:rsidP="00DB471E">
            <w:pPr>
              <w:spacing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hideMark/>
          </w:tcPr>
          <w:p w:rsidR="000B1719" w:rsidRPr="00B82F08" w:rsidRDefault="00B82F08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1701" w:type="dxa"/>
            <w:hideMark/>
          </w:tcPr>
          <w:p w:rsidR="000B1719" w:rsidRPr="00B82F08" w:rsidRDefault="00B82F08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National</w:t>
            </w:r>
          </w:p>
        </w:tc>
      </w:tr>
      <w:tr w:rsidR="00B82F08" w:rsidRPr="00B82F08" w:rsidTr="00DB471E">
        <w:trPr>
          <w:trHeight w:val="589"/>
        </w:trPr>
        <w:tc>
          <w:tcPr>
            <w:tcW w:w="3652" w:type="dxa"/>
            <w:hideMark/>
          </w:tcPr>
          <w:p w:rsidR="000B1719" w:rsidRPr="00B82F08" w:rsidRDefault="001D6675" w:rsidP="00DB471E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Level 4</w:t>
            </w:r>
            <w:r w:rsidR="00B82F08" w:rsidRP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or above in reading</w:t>
            </w:r>
          </w:p>
        </w:tc>
        <w:tc>
          <w:tcPr>
            <w:tcW w:w="1701" w:type="dxa"/>
          </w:tcPr>
          <w:p w:rsidR="000B1719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1701" w:type="dxa"/>
          </w:tcPr>
          <w:p w:rsidR="000B1719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89%</w:t>
            </w:r>
          </w:p>
        </w:tc>
      </w:tr>
      <w:tr w:rsidR="00B82F08" w:rsidRPr="00B82F08" w:rsidTr="00DB471E">
        <w:trPr>
          <w:trHeight w:val="589"/>
        </w:trPr>
        <w:tc>
          <w:tcPr>
            <w:tcW w:w="3652" w:type="dxa"/>
          </w:tcPr>
          <w:p w:rsidR="00B82F08" w:rsidRDefault="001D6675" w:rsidP="00DB471E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Level 5</w:t>
            </w:r>
            <w:r w:rsid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or above in reading </w:t>
            </w:r>
          </w:p>
        </w:tc>
        <w:tc>
          <w:tcPr>
            <w:tcW w:w="1701" w:type="dxa"/>
          </w:tcPr>
          <w:p w:rsidR="00B82F08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1701" w:type="dxa"/>
          </w:tcPr>
          <w:p w:rsidR="00B82F08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48%</w:t>
            </w:r>
          </w:p>
        </w:tc>
      </w:tr>
      <w:tr w:rsidR="00B82F08" w:rsidRPr="00B82F08" w:rsidTr="00DB471E">
        <w:trPr>
          <w:trHeight w:val="589"/>
        </w:trPr>
        <w:tc>
          <w:tcPr>
            <w:tcW w:w="3652" w:type="dxa"/>
            <w:hideMark/>
          </w:tcPr>
          <w:p w:rsidR="000B1719" w:rsidRPr="00B82F08" w:rsidRDefault="001D6675" w:rsidP="00DB471E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Level 4</w:t>
            </w:r>
            <w:r w:rsidR="00B82F08" w:rsidRP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or above in writing</w:t>
            </w:r>
          </w:p>
        </w:tc>
        <w:tc>
          <w:tcPr>
            <w:tcW w:w="1701" w:type="dxa"/>
          </w:tcPr>
          <w:p w:rsidR="000B1719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1701" w:type="dxa"/>
          </w:tcPr>
          <w:p w:rsidR="000B1719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87%</w:t>
            </w:r>
          </w:p>
        </w:tc>
      </w:tr>
      <w:tr w:rsidR="00B82F08" w:rsidRPr="00B82F08" w:rsidTr="00DB471E">
        <w:trPr>
          <w:trHeight w:val="589"/>
        </w:trPr>
        <w:tc>
          <w:tcPr>
            <w:tcW w:w="3652" w:type="dxa"/>
          </w:tcPr>
          <w:p w:rsidR="00B82F08" w:rsidRDefault="001D6675" w:rsidP="00DB471E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Level 5</w:t>
            </w:r>
            <w:r w:rsid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or above in writing </w:t>
            </w:r>
          </w:p>
        </w:tc>
        <w:tc>
          <w:tcPr>
            <w:tcW w:w="1701" w:type="dxa"/>
          </w:tcPr>
          <w:p w:rsidR="00B82F08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1701" w:type="dxa"/>
          </w:tcPr>
          <w:p w:rsidR="00B82F08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36%</w:t>
            </w:r>
          </w:p>
        </w:tc>
      </w:tr>
      <w:tr w:rsidR="00B82F08" w:rsidRPr="00B82F08" w:rsidTr="00DB471E">
        <w:trPr>
          <w:trHeight w:val="589"/>
        </w:trPr>
        <w:tc>
          <w:tcPr>
            <w:tcW w:w="3652" w:type="dxa"/>
            <w:hideMark/>
          </w:tcPr>
          <w:p w:rsidR="000B1719" w:rsidRPr="00B82F08" w:rsidRDefault="001D6675" w:rsidP="00DB471E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Level 4</w:t>
            </w:r>
            <w:r w:rsidR="00B82F08" w:rsidRP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or above in maths</w:t>
            </w:r>
          </w:p>
        </w:tc>
        <w:tc>
          <w:tcPr>
            <w:tcW w:w="1701" w:type="dxa"/>
          </w:tcPr>
          <w:p w:rsidR="000B1719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701" w:type="dxa"/>
          </w:tcPr>
          <w:p w:rsidR="000B1719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87%</w:t>
            </w:r>
          </w:p>
        </w:tc>
      </w:tr>
      <w:tr w:rsidR="00B82F08" w:rsidRPr="00B82F08" w:rsidTr="00DB471E">
        <w:trPr>
          <w:trHeight w:val="88"/>
        </w:trPr>
        <w:tc>
          <w:tcPr>
            <w:tcW w:w="3652" w:type="dxa"/>
          </w:tcPr>
          <w:p w:rsidR="00B82F08" w:rsidRDefault="001D6675" w:rsidP="00DB471E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Level 5</w:t>
            </w:r>
            <w:r w:rsid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or above in maths </w:t>
            </w:r>
          </w:p>
        </w:tc>
        <w:tc>
          <w:tcPr>
            <w:tcW w:w="1701" w:type="dxa"/>
          </w:tcPr>
          <w:p w:rsidR="00B82F08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44%</w:t>
            </w:r>
          </w:p>
        </w:tc>
        <w:tc>
          <w:tcPr>
            <w:tcW w:w="1701" w:type="dxa"/>
          </w:tcPr>
          <w:p w:rsidR="00B82F08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41%</w:t>
            </w:r>
          </w:p>
        </w:tc>
      </w:tr>
      <w:tr w:rsidR="001D6675" w:rsidRPr="00B82F08" w:rsidTr="00DB471E">
        <w:trPr>
          <w:trHeight w:val="88"/>
        </w:trPr>
        <w:tc>
          <w:tcPr>
            <w:tcW w:w="3652" w:type="dxa"/>
          </w:tcPr>
          <w:p w:rsidR="001D6675" w:rsidRDefault="001D6675" w:rsidP="00DB471E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Level 6 in maths </w:t>
            </w:r>
          </w:p>
        </w:tc>
        <w:tc>
          <w:tcPr>
            <w:tcW w:w="1701" w:type="dxa"/>
          </w:tcPr>
          <w:p w:rsidR="001D6675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11%</w:t>
            </w:r>
          </w:p>
        </w:tc>
        <w:tc>
          <w:tcPr>
            <w:tcW w:w="1701" w:type="dxa"/>
          </w:tcPr>
          <w:p w:rsidR="001D6675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9</w:t>
            </w:r>
          </w:p>
        </w:tc>
      </w:tr>
      <w:tr w:rsidR="001D6675" w:rsidRPr="00B82F08" w:rsidTr="00DB471E">
        <w:trPr>
          <w:trHeight w:val="589"/>
        </w:trPr>
        <w:tc>
          <w:tcPr>
            <w:tcW w:w="3652" w:type="dxa"/>
            <w:hideMark/>
          </w:tcPr>
          <w:p w:rsidR="000B1719" w:rsidRPr="00B82F08" w:rsidRDefault="001D6675" w:rsidP="001D6675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Level 4</w:t>
            </w:r>
            <w:r w:rsidRPr="00B82F08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or above in 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grammar, punctuation and spelling </w:t>
            </w:r>
          </w:p>
        </w:tc>
        <w:tc>
          <w:tcPr>
            <w:tcW w:w="1701" w:type="dxa"/>
          </w:tcPr>
          <w:p w:rsidR="000B1719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1701" w:type="dxa"/>
          </w:tcPr>
          <w:p w:rsidR="000B1719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80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%</w:t>
            </w:r>
          </w:p>
        </w:tc>
      </w:tr>
      <w:tr w:rsidR="001D6675" w:rsidRPr="00B82F08" w:rsidTr="00DB471E">
        <w:trPr>
          <w:trHeight w:val="88"/>
        </w:trPr>
        <w:tc>
          <w:tcPr>
            <w:tcW w:w="3652" w:type="dxa"/>
          </w:tcPr>
          <w:p w:rsidR="001D6675" w:rsidRDefault="001D6675" w:rsidP="001D6675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Level 5 or above in </w:t>
            </w:r>
          </w:p>
        </w:tc>
        <w:tc>
          <w:tcPr>
            <w:tcW w:w="1701" w:type="dxa"/>
          </w:tcPr>
          <w:p w:rsidR="001D6675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44%</w:t>
            </w:r>
          </w:p>
        </w:tc>
        <w:tc>
          <w:tcPr>
            <w:tcW w:w="1701" w:type="dxa"/>
          </w:tcPr>
          <w:p w:rsidR="001D6675" w:rsidRPr="00B82F08" w:rsidRDefault="001D6675" w:rsidP="00DB471E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41%</w:t>
            </w:r>
          </w:p>
        </w:tc>
      </w:tr>
    </w:tbl>
    <w:p w:rsidR="00B82F08" w:rsidRDefault="00B82F08"/>
    <w:p w:rsidR="001D6675" w:rsidRDefault="001D6675"/>
    <w:p w:rsidR="001D6675" w:rsidRPr="001D6675" w:rsidRDefault="001D6675" w:rsidP="001D6675">
      <w:pPr>
        <w:shd w:val="clear" w:color="auto" w:fill="FFFFFF"/>
        <w:spacing w:before="100" w:beforeAutospacing="1" w:line="360" w:lineRule="atLeast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1D6675">
        <w:rPr>
          <w:rFonts w:ascii="Helvetica" w:eastAsia="Times New Roman" w:hAnsi="Helvetica" w:cs="Helvetica"/>
          <w:sz w:val="20"/>
          <w:szCs w:val="20"/>
          <w:lang w:eastAsia="en-GB"/>
        </w:rPr>
        <w:t>This table shows the percentage of children who have made expected progress (improvement by 2 or more levels) in reading, writing and maths between Key Stage 1 and Key Stage 2, in comparison with the national average.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1701"/>
      </w:tblGrid>
      <w:tr w:rsidR="001D6675" w:rsidRPr="001D6675" w:rsidTr="001D6675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675" w:rsidRPr="001D6675" w:rsidRDefault="001D6675" w:rsidP="001D6675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1D667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675" w:rsidRPr="001D6675" w:rsidRDefault="001D6675" w:rsidP="001D6675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1D667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675" w:rsidRPr="001D6675" w:rsidRDefault="001D6675" w:rsidP="001D6675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1D667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National</w:t>
            </w:r>
          </w:p>
        </w:tc>
      </w:tr>
      <w:tr w:rsidR="001D6675" w:rsidRPr="001D6675" w:rsidTr="001D6675">
        <w:trPr>
          <w:trHeight w:val="589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675" w:rsidRPr="001D6675" w:rsidRDefault="001D6675" w:rsidP="001D6675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1D667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675" w:rsidRPr="001D6675" w:rsidRDefault="001D6675" w:rsidP="001D6675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675" w:rsidRPr="001D6675" w:rsidRDefault="001D6675" w:rsidP="001D6675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1D667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91%</w:t>
            </w:r>
          </w:p>
        </w:tc>
      </w:tr>
      <w:tr w:rsidR="001D6675" w:rsidRPr="001D6675" w:rsidTr="001D6675">
        <w:trPr>
          <w:trHeight w:val="589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675" w:rsidRPr="001D6675" w:rsidRDefault="001D6675" w:rsidP="001D6675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1D667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675" w:rsidRPr="001D6675" w:rsidRDefault="001D6675" w:rsidP="001D6675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675" w:rsidRPr="001D6675" w:rsidRDefault="001D6675" w:rsidP="001D6675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1D667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94%</w:t>
            </w:r>
          </w:p>
        </w:tc>
      </w:tr>
      <w:tr w:rsidR="001D6675" w:rsidRPr="001D6675" w:rsidTr="001D6675">
        <w:trPr>
          <w:trHeight w:val="589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675" w:rsidRPr="001D6675" w:rsidRDefault="001D6675" w:rsidP="001D6675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1D667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675" w:rsidRPr="001D6675" w:rsidRDefault="001D6675" w:rsidP="001D6675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675" w:rsidRPr="001D6675" w:rsidRDefault="001D6675" w:rsidP="001D6675">
            <w:pPr>
              <w:spacing w:before="100" w:beforeAutospacing="1" w:after="100" w:afterAutospacing="1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1D667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90%</w:t>
            </w:r>
          </w:p>
        </w:tc>
      </w:tr>
    </w:tbl>
    <w:p w:rsidR="001D6675" w:rsidRDefault="001D6675"/>
    <w:p w:rsidR="001D6675" w:rsidRDefault="001D6675"/>
    <w:sectPr w:rsidR="001D6675" w:rsidSect="00B82F08">
      <w:pgSz w:w="11906" w:h="16838"/>
      <w:pgMar w:top="1440" w:right="1440" w:bottom="1440" w:left="1440" w:header="708" w:footer="708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08"/>
    <w:rsid w:val="001D6675"/>
    <w:rsid w:val="002D0AED"/>
    <w:rsid w:val="00B21417"/>
    <w:rsid w:val="00B82F08"/>
    <w:rsid w:val="00E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0390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BF3F5"/>
                        <w:left w:val="single" w:sz="18" w:space="0" w:color="DBF3F5"/>
                        <w:bottom w:val="single" w:sz="18" w:space="0" w:color="DBF3F5"/>
                        <w:right w:val="single" w:sz="18" w:space="0" w:color="DBF3F5"/>
                      </w:divBdr>
                      <w:divsChild>
                        <w:div w:id="11490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855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dwoodgate</dc:creator>
  <cp:keywords/>
  <dc:description/>
  <cp:lastModifiedBy>dwoodgate</cp:lastModifiedBy>
  <cp:revision>1</cp:revision>
  <dcterms:created xsi:type="dcterms:W3CDTF">2016-03-14T18:32:00Z</dcterms:created>
  <dcterms:modified xsi:type="dcterms:W3CDTF">2016-03-14T19:01:00Z</dcterms:modified>
</cp:coreProperties>
</file>